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792" w:type="dxa"/>
        <w:tblLayout w:type="fixed"/>
        <w:tblLook w:val="0000" w:firstRow="0" w:lastRow="0" w:firstColumn="0" w:lastColumn="0" w:noHBand="0" w:noVBand="0"/>
      </w:tblPr>
      <w:tblGrid>
        <w:gridCol w:w="4770"/>
        <w:gridCol w:w="5580"/>
      </w:tblGrid>
      <w:tr w:rsidR="0041285D" w14:paraId="45488024" w14:textId="77777777">
        <w:trPr>
          <w:trHeight w:val="1710"/>
        </w:trPr>
        <w:tc>
          <w:tcPr>
            <w:tcW w:w="4770" w:type="dxa"/>
          </w:tcPr>
          <w:p w14:paraId="3BE4EDD8" w14:textId="77777777" w:rsidR="0041285D" w:rsidRDefault="00A55526" w:rsidP="00A51B60">
            <w:pPr>
              <w:spacing w:before="300" w:after="300"/>
              <w:ind w:left="72" w:firstLine="450"/>
            </w:pPr>
            <w:r>
              <w:rPr>
                <w:i/>
                <w:noProof/>
              </w:rPr>
              <w:drawing>
                <wp:inline distT="0" distB="0" distL="0" distR="0" wp14:anchorId="49933CA9" wp14:editId="308AFDC5">
                  <wp:extent cx="1752600" cy="1066800"/>
                  <wp:effectExtent l="0" t="0" r="0" b="0"/>
                  <wp:docPr id="1" name="Picture 1" descr="SCG_logo_01_stack 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G_logo_01_stack 4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2600" cy="1066800"/>
                          </a:xfrm>
                          <a:prstGeom prst="rect">
                            <a:avLst/>
                          </a:prstGeom>
                          <a:noFill/>
                          <a:ln>
                            <a:noFill/>
                          </a:ln>
                        </pic:spPr>
                      </pic:pic>
                    </a:graphicData>
                  </a:graphic>
                </wp:inline>
              </w:drawing>
            </w:r>
          </w:p>
        </w:tc>
        <w:tc>
          <w:tcPr>
            <w:tcW w:w="5580" w:type="dxa"/>
          </w:tcPr>
          <w:p w14:paraId="588552F4" w14:textId="77777777" w:rsidR="0041285D" w:rsidRDefault="0041285D">
            <w:pPr>
              <w:tabs>
                <w:tab w:val="left" w:pos="2808"/>
              </w:tabs>
              <w:ind w:right="-72"/>
              <w:jc w:val="right"/>
              <w:rPr>
                <w:rFonts w:ascii="Interstate-Bold" w:hAnsi="Interstate-Bold"/>
                <w:sz w:val="40"/>
              </w:rPr>
            </w:pPr>
          </w:p>
          <w:p w14:paraId="0DCC5287" w14:textId="77777777" w:rsidR="0041285D" w:rsidRDefault="0041285D">
            <w:pPr>
              <w:tabs>
                <w:tab w:val="left" w:pos="2808"/>
              </w:tabs>
              <w:spacing w:line="300" w:lineRule="exact"/>
              <w:ind w:right="-72"/>
              <w:rPr>
                <w:rFonts w:ascii="Interstate-Bold" w:hAnsi="Interstate-Bold"/>
              </w:rPr>
            </w:pPr>
          </w:p>
          <w:p w14:paraId="7286D07E" w14:textId="77777777" w:rsidR="0041285D" w:rsidRDefault="0041285D">
            <w:pPr>
              <w:tabs>
                <w:tab w:val="left" w:pos="2808"/>
              </w:tabs>
              <w:spacing w:line="300" w:lineRule="exact"/>
              <w:ind w:right="-72"/>
              <w:rPr>
                <w:rFonts w:ascii="Interstate-Bold" w:hAnsi="Interstate-Bold"/>
              </w:rPr>
            </w:pPr>
          </w:p>
          <w:p w14:paraId="38F96E9B" w14:textId="77777777" w:rsidR="0041285D" w:rsidRDefault="0041285D">
            <w:pPr>
              <w:tabs>
                <w:tab w:val="left" w:pos="2808"/>
              </w:tabs>
              <w:spacing w:line="300" w:lineRule="exact"/>
              <w:ind w:right="-72"/>
              <w:rPr>
                <w:rFonts w:ascii="Interstate-Bold" w:hAnsi="Interstate-Bold"/>
                <w:sz w:val="4"/>
              </w:rPr>
            </w:pPr>
          </w:p>
          <w:p w14:paraId="5414FB76" w14:textId="77777777" w:rsidR="0041285D" w:rsidRDefault="0041285D">
            <w:pPr>
              <w:tabs>
                <w:tab w:val="left" w:pos="2808"/>
              </w:tabs>
              <w:spacing w:before="80"/>
              <w:ind w:right="-72"/>
              <w:jc w:val="right"/>
              <w:rPr>
                <w:rFonts w:ascii="Interstate-Bold" w:hAnsi="Interstate-Bold"/>
                <w:sz w:val="40"/>
              </w:rPr>
            </w:pPr>
            <w:r>
              <w:rPr>
                <w:rFonts w:ascii="Interstate-Bold" w:hAnsi="Interstate-Bold"/>
                <w:sz w:val="40"/>
              </w:rPr>
              <w:t xml:space="preserve">Memo </w:t>
            </w:r>
          </w:p>
          <w:p w14:paraId="43FFBED3" w14:textId="77777777" w:rsidR="0041285D" w:rsidRDefault="0041285D">
            <w:pPr>
              <w:tabs>
                <w:tab w:val="left" w:pos="2808"/>
              </w:tabs>
              <w:spacing w:line="180" w:lineRule="exact"/>
              <w:ind w:right="-72"/>
              <w:jc w:val="right"/>
              <w:rPr>
                <w:rFonts w:ascii="Interstate-Bold" w:hAnsi="Interstate-Bold"/>
                <w:sz w:val="40"/>
              </w:rPr>
            </w:pPr>
          </w:p>
        </w:tc>
      </w:tr>
    </w:tbl>
    <w:p w14:paraId="0968B69B" w14:textId="77777777" w:rsidR="0041285D" w:rsidRDefault="0041285D">
      <w:pPr>
        <w:sectPr w:rsidR="0041285D" w:rsidSect="00A51B60">
          <w:footerReference w:type="first" r:id="rId9"/>
          <w:pgSz w:w="12240" w:h="15840" w:code="1"/>
          <w:pgMar w:top="810" w:right="1440" w:bottom="1440" w:left="1440" w:header="720" w:footer="360" w:gutter="0"/>
          <w:cols w:space="720"/>
          <w:titlePg/>
        </w:sectPr>
      </w:pPr>
      <w:bookmarkStart w:id="0" w:name="_GoBack"/>
      <w:bookmarkEnd w:id="0"/>
    </w:p>
    <w:p w14:paraId="45D30886" w14:textId="77777777" w:rsidR="0041285D" w:rsidRDefault="0041285D">
      <w:pPr>
        <w:rPr>
          <w:sz w:val="20"/>
        </w:rPr>
      </w:pPr>
    </w:p>
    <w:p w14:paraId="4BFAC7AF" w14:textId="77777777" w:rsidR="0041285D" w:rsidRDefault="0041285D">
      <w:pPr>
        <w:rPr>
          <w:sz w:val="20"/>
        </w:rPr>
      </w:pPr>
    </w:p>
    <w:tbl>
      <w:tblPr>
        <w:tblW w:w="0" w:type="auto"/>
        <w:tblLayout w:type="fixed"/>
        <w:tblCellMar>
          <w:left w:w="36" w:type="dxa"/>
          <w:right w:w="36" w:type="dxa"/>
        </w:tblCellMar>
        <w:tblLook w:val="0000" w:firstRow="0" w:lastRow="0" w:firstColumn="0" w:lastColumn="0" w:noHBand="0" w:noVBand="0"/>
      </w:tblPr>
      <w:tblGrid>
        <w:gridCol w:w="756"/>
        <w:gridCol w:w="8730"/>
      </w:tblGrid>
      <w:tr w:rsidR="0041285D" w14:paraId="48444C20" w14:textId="77777777">
        <w:tc>
          <w:tcPr>
            <w:tcW w:w="756" w:type="dxa"/>
          </w:tcPr>
          <w:p w14:paraId="6ECB5798" w14:textId="77777777" w:rsidR="0041285D" w:rsidRDefault="0041285D">
            <w:pPr>
              <w:spacing w:before="140" w:after="60"/>
              <w:rPr>
                <w:rFonts w:ascii="Interstate-Light" w:hAnsi="Interstate-Light"/>
                <w:b/>
                <w:sz w:val="16"/>
              </w:rPr>
            </w:pPr>
            <w:r>
              <w:rPr>
                <w:rFonts w:ascii="Interstate-Light" w:hAnsi="Interstate-Light"/>
                <w:b/>
                <w:sz w:val="16"/>
              </w:rPr>
              <w:t>To:</w:t>
            </w:r>
          </w:p>
        </w:tc>
        <w:tc>
          <w:tcPr>
            <w:tcW w:w="8730" w:type="dxa"/>
          </w:tcPr>
          <w:p w14:paraId="09EC45F4" w14:textId="5F083C1D" w:rsidR="0041285D" w:rsidRDefault="00D0413C">
            <w:pPr>
              <w:spacing w:before="60" w:after="60"/>
            </w:pPr>
            <w:r>
              <w:t>Sue Haselhorst, Ex Ante Review Team</w:t>
            </w:r>
          </w:p>
        </w:tc>
      </w:tr>
      <w:tr w:rsidR="0041285D" w14:paraId="25F6BCEE" w14:textId="77777777">
        <w:trPr>
          <w:trHeight w:hRule="exact" w:val="400"/>
        </w:trPr>
        <w:tc>
          <w:tcPr>
            <w:tcW w:w="756" w:type="dxa"/>
          </w:tcPr>
          <w:p w14:paraId="7F294116" w14:textId="77777777" w:rsidR="0041285D" w:rsidRDefault="0041285D">
            <w:pPr>
              <w:spacing w:before="140" w:after="60"/>
              <w:rPr>
                <w:rFonts w:ascii="Interstate-Light" w:hAnsi="Interstate-Light"/>
                <w:b/>
                <w:sz w:val="16"/>
              </w:rPr>
            </w:pPr>
            <w:r>
              <w:rPr>
                <w:rFonts w:ascii="Interstate-Light" w:hAnsi="Interstate-Light"/>
                <w:b/>
                <w:sz w:val="16"/>
              </w:rPr>
              <w:t>From:</w:t>
            </w:r>
          </w:p>
        </w:tc>
        <w:tc>
          <w:tcPr>
            <w:tcW w:w="8730" w:type="dxa"/>
          </w:tcPr>
          <w:p w14:paraId="6CB2E48C" w14:textId="40468373" w:rsidR="0041285D" w:rsidRDefault="00D0413C">
            <w:pPr>
              <w:spacing w:before="60" w:after="60"/>
            </w:pPr>
            <w:r>
              <w:t>Chan Paek</w:t>
            </w:r>
            <w:r w:rsidR="00292D1A">
              <w:t>,</w:t>
            </w:r>
            <w:r w:rsidR="00C875DA">
              <w:t xml:space="preserve"> SoCalGas</w:t>
            </w:r>
          </w:p>
        </w:tc>
      </w:tr>
      <w:tr w:rsidR="0041285D" w14:paraId="20165FBC" w14:textId="77777777">
        <w:trPr>
          <w:trHeight w:hRule="exact" w:val="400"/>
        </w:trPr>
        <w:tc>
          <w:tcPr>
            <w:tcW w:w="756" w:type="dxa"/>
          </w:tcPr>
          <w:p w14:paraId="05BAC9DC" w14:textId="77777777" w:rsidR="0041285D" w:rsidRDefault="0041285D">
            <w:pPr>
              <w:spacing w:before="140" w:after="60"/>
              <w:rPr>
                <w:rFonts w:ascii="Interstate-Light" w:hAnsi="Interstate-Light"/>
                <w:b/>
                <w:sz w:val="16"/>
              </w:rPr>
            </w:pPr>
            <w:r>
              <w:rPr>
                <w:rFonts w:ascii="Interstate-Light" w:hAnsi="Interstate-Light"/>
                <w:b/>
                <w:sz w:val="16"/>
              </w:rPr>
              <w:t>Date:</w:t>
            </w:r>
          </w:p>
        </w:tc>
        <w:tc>
          <w:tcPr>
            <w:tcW w:w="8730" w:type="dxa"/>
          </w:tcPr>
          <w:p w14:paraId="69DEB6C4" w14:textId="0FC03C0C" w:rsidR="0041285D" w:rsidRDefault="00CD3B15">
            <w:pPr>
              <w:spacing w:before="60" w:after="60"/>
            </w:pPr>
            <w:r>
              <w:t xml:space="preserve">March </w:t>
            </w:r>
            <w:r w:rsidR="00004160">
              <w:t>22</w:t>
            </w:r>
            <w:r w:rsidR="00C875DA">
              <w:t>, 2019</w:t>
            </w:r>
          </w:p>
        </w:tc>
      </w:tr>
      <w:tr w:rsidR="0041285D" w14:paraId="2B42DE56" w14:textId="77777777">
        <w:tc>
          <w:tcPr>
            <w:tcW w:w="756" w:type="dxa"/>
          </w:tcPr>
          <w:p w14:paraId="156383AB" w14:textId="77777777" w:rsidR="0041285D" w:rsidRDefault="0041285D">
            <w:pPr>
              <w:spacing w:before="60" w:after="60" w:line="360" w:lineRule="exact"/>
              <w:rPr>
                <w:rFonts w:ascii="Interstate-Light" w:hAnsi="Interstate-Light"/>
                <w:b/>
                <w:sz w:val="16"/>
              </w:rPr>
            </w:pPr>
            <w:r>
              <w:rPr>
                <w:rFonts w:ascii="Interstate-Light" w:hAnsi="Interstate-Light"/>
                <w:b/>
                <w:sz w:val="16"/>
              </w:rPr>
              <w:t>cc:</w:t>
            </w:r>
          </w:p>
        </w:tc>
        <w:tc>
          <w:tcPr>
            <w:tcW w:w="8730" w:type="dxa"/>
          </w:tcPr>
          <w:p w14:paraId="25BEFED4" w14:textId="27AAFE34" w:rsidR="0041285D" w:rsidRDefault="00004160">
            <w:pPr>
              <w:spacing w:before="60" w:after="60" w:line="360" w:lineRule="exact"/>
            </w:pPr>
            <w:r>
              <w:t xml:space="preserve">Peter Biermayer, Energy Division </w:t>
            </w:r>
            <w:r w:rsidR="00292D1A">
              <w:t>Kerri-Ann Richards,</w:t>
            </w:r>
            <w:r w:rsidR="00D0413C">
              <w:t xml:space="preserve"> Ex Ante Review Team</w:t>
            </w:r>
            <w:r w:rsidR="00C875DA">
              <w:t xml:space="preserve">; </w:t>
            </w:r>
            <w:r w:rsidR="00D0413C">
              <w:t>Martha Garcia, SoCalGas; Paul Deang, SoCalGas</w:t>
            </w:r>
          </w:p>
        </w:tc>
      </w:tr>
    </w:tbl>
    <w:p w14:paraId="3F58627B" w14:textId="77777777" w:rsidR="0041285D" w:rsidRDefault="0041285D">
      <w:pPr>
        <w:spacing w:before="60"/>
        <w:rPr>
          <w:b/>
          <w:sz w:val="18"/>
        </w:rPr>
        <w:sectPr w:rsidR="0041285D">
          <w:headerReference w:type="default" r:id="rId10"/>
          <w:type w:val="continuous"/>
          <w:pgSz w:w="12240" w:h="15840"/>
          <w:pgMar w:top="648" w:right="1440" w:bottom="1440" w:left="1440" w:header="720" w:footer="720" w:gutter="0"/>
          <w:cols w:space="720"/>
        </w:sectPr>
      </w:pPr>
    </w:p>
    <w:p w14:paraId="3CC6EF56" w14:textId="77777777" w:rsidR="0041285D" w:rsidRDefault="0041285D">
      <w:pPr>
        <w:spacing w:before="60"/>
      </w:pPr>
    </w:p>
    <w:p w14:paraId="36D88A3D" w14:textId="4C3E926E" w:rsidR="0041285D" w:rsidRPr="00075059" w:rsidRDefault="00004160">
      <w:pPr>
        <w:spacing w:before="60" w:line="280" w:lineRule="exact"/>
        <w:rPr>
          <w:b/>
        </w:rPr>
      </w:pPr>
      <w:r>
        <w:rPr>
          <w:b/>
        </w:rPr>
        <w:t xml:space="preserve">Response to Ex-Ante Review Comment on </w:t>
      </w:r>
      <w:r w:rsidRPr="00004160">
        <w:rPr>
          <w:b/>
        </w:rPr>
        <w:t>WPSCGREWH180305A</w:t>
      </w:r>
      <w:r>
        <w:rPr>
          <w:b/>
        </w:rPr>
        <w:t>-Rev00</w:t>
      </w:r>
      <w:r w:rsidRPr="00004160">
        <w:rPr>
          <w:b/>
        </w:rPr>
        <w:t xml:space="preserve"> </w:t>
      </w:r>
    </w:p>
    <w:p w14:paraId="2C3C1164" w14:textId="77777777" w:rsidR="0041285D" w:rsidRPr="00075059" w:rsidRDefault="0041285D">
      <w:pPr>
        <w:spacing w:before="60"/>
        <w:rPr>
          <w:b/>
          <w:sz w:val="18"/>
        </w:rPr>
      </w:pPr>
    </w:p>
    <w:p w14:paraId="1773EAE5" w14:textId="77777777" w:rsidR="0041285D" w:rsidRPr="00075059" w:rsidRDefault="0041285D">
      <w:pPr>
        <w:sectPr w:rsidR="0041285D" w:rsidRPr="00075059">
          <w:type w:val="continuous"/>
          <w:pgSz w:w="12240" w:h="15840"/>
          <w:pgMar w:top="648" w:right="1440" w:bottom="1440" w:left="1440" w:header="720" w:footer="720" w:gutter="0"/>
          <w:cols w:space="720"/>
        </w:sectPr>
      </w:pPr>
    </w:p>
    <w:p w14:paraId="242C1234" w14:textId="4C001148" w:rsidR="00004160" w:rsidRDefault="00BC07DB" w:rsidP="00CD3B15">
      <w:r>
        <w:t xml:space="preserve">This memo </w:t>
      </w:r>
      <w:r w:rsidR="009A498A">
        <w:t>address</w:t>
      </w:r>
      <w:r w:rsidR="00E0795C">
        <w:t>es</w:t>
      </w:r>
      <w:r w:rsidR="009A498A">
        <w:t xml:space="preserve"> </w:t>
      </w:r>
      <w:r w:rsidR="00004160">
        <w:t xml:space="preserve">a comment from Ex-Ante Review of the workpaper </w:t>
      </w:r>
      <w:r w:rsidR="00004160" w:rsidRPr="00004160">
        <w:t>WPSCGREWH180305A</w:t>
      </w:r>
      <w:r w:rsidR="00004160">
        <w:t>-Rev00 Multi-Family Central Boiler Dual Setpoint Temperature Control.</w:t>
      </w:r>
    </w:p>
    <w:p w14:paraId="5D638A72" w14:textId="77777777" w:rsidR="00004160" w:rsidRDefault="00004160" w:rsidP="00CD3B15"/>
    <w:p w14:paraId="60F7724D" w14:textId="3C3DCDF1" w:rsidR="00004160" w:rsidRDefault="00004160" w:rsidP="00CD3B15">
      <w:r>
        <w:t>On February 25, 2019, the CPUC provided following comment about the workpaper.</w:t>
      </w:r>
    </w:p>
    <w:p w14:paraId="719F710F" w14:textId="77777777" w:rsidR="00004160" w:rsidRDefault="00004160" w:rsidP="00CD3B15"/>
    <w:p w14:paraId="6CE048D9" w14:textId="69AF88C3" w:rsidR="00004160" w:rsidRDefault="00004160" w:rsidP="00711527">
      <w:pPr>
        <w:ind w:left="720"/>
      </w:pPr>
      <w:r w:rsidRPr="00004160">
        <w:t>The assumption that most pipe in a building is not insulated seems like a very large assumption to make especially since half of the savings in this measure comes from uninsulated pipes. It would be good to see some reference on how well or not pipes are insulated in multi-family buildings.</w:t>
      </w:r>
    </w:p>
    <w:p w14:paraId="70389F50" w14:textId="301B6A49" w:rsidR="00004160" w:rsidRDefault="00004160" w:rsidP="00711527">
      <w:pPr>
        <w:ind w:left="720"/>
      </w:pPr>
    </w:p>
    <w:p w14:paraId="26C92FD0" w14:textId="77777777" w:rsidR="00004160" w:rsidRDefault="00004160" w:rsidP="00004160"/>
    <w:p w14:paraId="44842238" w14:textId="65310A38" w:rsidR="00004160" w:rsidRPr="00CF2614" w:rsidRDefault="00716511" w:rsidP="00004160">
      <w:pPr>
        <w:rPr>
          <w:szCs w:val="24"/>
          <w:u w:val="single"/>
        </w:rPr>
      </w:pPr>
      <w:r>
        <w:rPr>
          <w:b/>
          <w:szCs w:val="24"/>
          <w:u w:val="single"/>
        </w:rPr>
        <w:t>SoCalGas’ Response</w:t>
      </w:r>
    </w:p>
    <w:p w14:paraId="33043C25" w14:textId="77777777" w:rsidR="00004160" w:rsidRDefault="00004160" w:rsidP="00004160"/>
    <w:p w14:paraId="032E3828" w14:textId="77777777" w:rsidR="00716511" w:rsidRDefault="00716511" w:rsidP="00711527">
      <w:r>
        <w:t>In response to above comment on the workpaper, SCG provided following initial response on February 27, 2019.</w:t>
      </w:r>
    </w:p>
    <w:p w14:paraId="1FD42A29" w14:textId="77777777" w:rsidR="00716511" w:rsidRDefault="00716511" w:rsidP="00711527"/>
    <w:p w14:paraId="1570E906" w14:textId="04C942ED" w:rsidR="00716511" w:rsidRPr="00711527" w:rsidRDefault="00716511" w:rsidP="00711527">
      <w:pPr>
        <w:pStyle w:val="ListParagraph"/>
        <w:numPr>
          <w:ilvl w:val="0"/>
          <w:numId w:val="15"/>
        </w:numPr>
        <w:rPr>
          <w:rFonts w:ascii="Times New Roman" w:eastAsia="Times New Roman" w:hAnsi="Times New Roman" w:cs="Times New Roman"/>
          <w:sz w:val="24"/>
          <w:szCs w:val="20"/>
        </w:rPr>
      </w:pPr>
      <w:r w:rsidRPr="00711527">
        <w:rPr>
          <w:rFonts w:ascii="Times New Roman" w:eastAsia="Times New Roman" w:hAnsi="Times New Roman" w:cs="Times New Roman"/>
          <w:sz w:val="24"/>
          <w:szCs w:val="20"/>
        </w:rPr>
        <w:t>Modeling assumptions were chosen to calibrate the simulation results with reasonable MF baseline consumptions.</w:t>
      </w:r>
    </w:p>
    <w:p w14:paraId="27A84FD1" w14:textId="564567CA" w:rsidR="00716511" w:rsidRPr="00711527" w:rsidRDefault="00716511" w:rsidP="00711527">
      <w:pPr>
        <w:pStyle w:val="ListParagraph"/>
        <w:numPr>
          <w:ilvl w:val="0"/>
          <w:numId w:val="14"/>
        </w:numPr>
        <w:rPr>
          <w:rFonts w:ascii="Times New Roman" w:eastAsia="Times New Roman" w:hAnsi="Times New Roman" w:cs="Times New Roman"/>
          <w:sz w:val="24"/>
          <w:szCs w:val="20"/>
        </w:rPr>
      </w:pPr>
      <w:r w:rsidRPr="00711527">
        <w:rPr>
          <w:rFonts w:ascii="Times New Roman" w:eastAsia="Times New Roman" w:hAnsi="Times New Roman" w:cs="Times New Roman"/>
          <w:sz w:val="24"/>
          <w:szCs w:val="20"/>
        </w:rPr>
        <w:t xml:space="preserve">It is needed to investigate the source/reference and the effect of recirculation pipe assumption.  </w:t>
      </w:r>
    </w:p>
    <w:p w14:paraId="5B847FBE" w14:textId="0874BA26" w:rsidR="00716511" w:rsidRPr="00711527" w:rsidRDefault="00716511" w:rsidP="00711527">
      <w:pPr>
        <w:pStyle w:val="ListParagraph"/>
        <w:numPr>
          <w:ilvl w:val="0"/>
          <w:numId w:val="14"/>
        </w:numPr>
        <w:rPr>
          <w:rFonts w:ascii="Times New Roman" w:eastAsia="Times New Roman" w:hAnsi="Times New Roman" w:cs="Times New Roman"/>
          <w:sz w:val="24"/>
          <w:szCs w:val="20"/>
        </w:rPr>
      </w:pPr>
      <w:r w:rsidRPr="00711527">
        <w:rPr>
          <w:rFonts w:ascii="Times New Roman" w:eastAsia="Times New Roman" w:hAnsi="Times New Roman" w:cs="Times New Roman"/>
          <w:sz w:val="24"/>
          <w:szCs w:val="20"/>
        </w:rPr>
        <w:t>SoCalGas will notify the EAR team by Friday, March 22nd, 2019 whether the workpaper can be updated with minor changes in the description or needs re-calculation with revised model assumptions.</w:t>
      </w:r>
    </w:p>
    <w:p w14:paraId="343E58D0" w14:textId="77777777" w:rsidR="00716511" w:rsidRDefault="00716511" w:rsidP="00711527">
      <w:pPr>
        <w:ind w:left="720"/>
      </w:pPr>
    </w:p>
    <w:p w14:paraId="3F5C2948" w14:textId="7143D986" w:rsidR="00716511" w:rsidRDefault="00716511" w:rsidP="00711527">
      <w:r>
        <w:lastRenderedPageBreak/>
        <w:t xml:space="preserve">SoCalGas reviewed the workpaper and related documents to provide further explanation about </w:t>
      </w:r>
      <w:r w:rsidR="000108B6">
        <w:t xml:space="preserve">the uninsulated </w:t>
      </w:r>
      <w:r>
        <w:t>pipe assumption.</w:t>
      </w:r>
      <w:r w:rsidR="00711527">
        <w:t xml:space="preserve">  </w:t>
      </w:r>
      <w:r w:rsidR="00DF7A3A" w:rsidRPr="00DF7A3A">
        <w:t>The MF hydronic system</w:t>
      </w:r>
      <w:r w:rsidR="00DF7A3A">
        <w:t xml:space="preserve"> in the workpaper</w:t>
      </w:r>
      <w:r w:rsidR="00DF7A3A" w:rsidRPr="00DF7A3A">
        <w:t xml:space="preserve"> was modeled </w:t>
      </w:r>
      <w:r w:rsidR="00DF7A3A">
        <w:t>using</w:t>
      </w:r>
      <w:r w:rsidR="00DF7A3A" w:rsidRPr="00DF7A3A">
        <w:t xml:space="preserve"> OpenStudio which is based on EnergyPlus software program. Baseline energy usage were calibrated for accuracy using the DEER Water Heating Calculator spreadsh</w:t>
      </w:r>
      <w:r w:rsidR="00DF7A3A">
        <w:t>eet, DEER Thermostat spreadsheet</w:t>
      </w:r>
      <w:r w:rsidR="000108B6">
        <w:t>, as stated in the workpaper page 16.</w:t>
      </w:r>
    </w:p>
    <w:p w14:paraId="31F11511" w14:textId="08C1F689" w:rsidR="00DF7A3A" w:rsidRDefault="00DF7A3A" w:rsidP="00711527"/>
    <w:p w14:paraId="063A65E2" w14:textId="15063E2F" w:rsidR="007A408F" w:rsidRDefault="00DF7A3A" w:rsidP="00711527">
      <w:r w:rsidRPr="00DF7A3A">
        <w:t>A</w:t>
      </w:r>
      <w:r>
        <w:t xml:space="preserve">ccording to a study </w:t>
      </w:r>
      <w:r w:rsidRPr="00DF7A3A">
        <w:t>done by KEMA Energy Services in 2008</w:t>
      </w:r>
      <w:r>
        <w:rPr>
          <w:rStyle w:val="FootnoteReference"/>
        </w:rPr>
        <w:footnoteReference w:id="1"/>
      </w:r>
      <w:r w:rsidRPr="00DF7A3A">
        <w:t xml:space="preserve"> </w:t>
      </w:r>
      <w:r w:rsidR="00367FA3">
        <w:t>(</w:t>
      </w:r>
      <w:r w:rsidRPr="00DF7A3A">
        <w:t>Multifamily Boiler Controls – Process Evaluation,</w:t>
      </w:r>
      <w:r w:rsidR="00367FA3">
        <w:t xml:space="preserve"> page 4-16, Figure 3), </w:t>
      </w:r>
      <w:r w:rsidR="00FA673B">
        <w:t>80% of inspected hot water heating systems were found to have uninsulated piping.</w:t>
      </w:r>
      <w:r w:rsidR="00E80638">
        <w:t xml:space="preserve">  </w:t>
      </w:r>
    </w:p>
    <w:p w14:paraId="01A016A9" w14:textId="77777777" w:rsidR="00FA673B" w:rsidRDefault="00FA673B" w:rsidP="00711527"/>
    <w:p w14:paraId="2B8C5423" w14:textId="713230E3" w:rsidR="000D2BCF" w:rsidRDefault="00E80638" w:rsidP="000D2BCF">
      <w:r w:rsidRPr="00E80638">
        <w:t>In Best Practices for Efficient Hot Water Distribution in Multifamily Buildings</w:t>
      </w:r>
      <w:r>
        <w:rPr>
          <w:rStyle w:val="FootnoteReference"/>
        </w:rPr>
        <w:footnoteReference w:id="2"/>
      </w:r>
      <w:r>
        <w:t>, it is stated</w:t>
      </w:r>
      <w:r w:rsidR="007A408F">
        <w:t xml:space="preserve"> that</w:t>
      </w:r>
      <w:r>
        <w:t xml:space="preserve"> “after the hot water has been generated, 49% of that heat energy radiates off the pipes and into the surrounding air, most often into unconditioned space” </w:t>
      </w:r>
      <w:r w:rsidR="000D2BCF">
        <w:t>(page 2-16)</w:t>
      </w:r>
      <w:r>
        <w:t xml:space="preserve">.  </w:t>
      </w:r>
    </w:p>
    <w:p w14:paraId="41848BFF" w14:textId="77777777" w:rsidR="000D2BCF" w:rsidRDefault="000D2BCF" w:rsidP="000D2BCF"/>
    <w:p w14:paraId="14FB81D7" w14:textId="770CFE29" w:rsidR="000D2BCF" w:rsidRDefault="000D2BCF" w:rsidP="000D2BCF">
      <w:r w:rsidRPr="007A408F">
        <w:t>2019 Residential Compliance Manual</w:t>
      </w:r>
      <w:r>
        <w:rPr>
          <w:rStyle w:val="FootnoteReference"/>
        </w:rPr>
        <w:footnoteReference w:id="3"/>
      </w:r>
      <w:r>
        <w:t xml:space="preserve"> </w:t>
      </w:r>
      <w:r w:rsidRPr="000D2BCF">
        <w:t>is another good source for a rough percentage about distribution loss</w:t>
      </w:r>
      <w:r>
        <w:t>. Page 5-3 states, "In a typical multifamily building, distribution losses can account for more than 30 percent of total water heating energy use."</w:t>
      </w:r>
    </w:p>
    <w:p w14:paraId="0CBB1040" w14:textId="77777777" w:rsidR="00E80638" w:rsidRDefault="00E80638" w:rsidP="00711527"/>
    <w:p w14:paraId="62E3089F" w14:textId="2D8A6216" w:rsidR="00716511" w:rsidRDefault="000D2BCF" w:rsidP="00711527">
      <w:r>
        <w:t xml:space="preserve">In agreement with above references, </w:t>
      </w:r>
      <w:r w:rsidR="00FA673B">
        <w:t xml:space="preserve">Table 12 in the workpaper shows pipe heat loss of 48.9%, 48.4%, and 33.8% </w:t>
      </w:r>
      <w:r>
        <w:t>as simulated under different weather conditions in</w:t>
      </w:r>
      <w:r w:rsidR="00FA673B">
        <w:t xml:space="preserve"> CZ06, CZ09, and CZ16.  These values are results of various modeling assumptions, including bare pipe mostly located within the building. The multi-family model in the workpaper includes 12 dwelling units</w:t>
      </w:r>
      <w:r w:rsidR="000108B6">
        <w:t>,</w:t>
      </w:r>
      <w:r w:rsidR="00FA673B">
        <w:t xml:space="preserve"> 1</w:t>
      </w:r>
      <w:r w:rsidR="00711527">
        <w:t>,</w:t>
      </w:r>
      <w:r w:rsidR="00FA673B">
        <w:t>000 sq. ft. per each</w:t>
      </w:r>
      <w:r w:rsidR="000108B6">
        <w:t>,</w:t>
      </w:r>
      <w:r w:rsidR="00FA673B">
        <w:t xml:space="preserve"> and over 600 ft of indoor piping </w:t>
      </w:r>
      <w:r w:rsidR="00E80638">
        <w:t>for hot water recirculation.</w:t>
      </w:r>
    </w:p>
    <w:p w14:paraId="380785B1" w14:textId="13A0B39E" w:rsidR="000D2BCF" w:rsidRDefault="000D2BCF" w:rsidP="00711527"/>
    <w:p w14:paraId="17175F7C" w14:textId="0DAA0800" w:rsidR="000D2BCF" w:rsidRDefault="000D2BCF" w:rsidP="00711527">
      <w:r>
        <w:t xml:space="preserve">SoCalGas believes the </w:t>
      </w:r>
      <w:r w:rsidR="000108B6">
        <w:t xml:space="preserve">model </w:t>
      </w:r>
      <w:r>
        <w:t xml:space="preserve">assumptions </w:t>
      </w:r>
      <w:r w:rsidR="000108B6">
        <w:t xml:space="preserve">in the workpaper, </w:t>
      </w:r>
      <w:r>
        <w:t>such as “copper with no insulation”</w:t>
      </w:r>
      <w:r w:rsidR="000108B6">
        <w:t xml:space="preserve"> for piping material, were necessary to produce reasonable simulation results that align with </w:t>
      </w:r>
      <w:r w:rsidR="00711527">
        <w:t xml:space="preserve">multiple references and studies.  SoCalGas </w:t>
      </w:r>
      <w:r w:rsidR="00711527" w:rsidRPr="00711527">
        <w:t xml:space="preserve">appreciates Energy Division Staff’s attention and response to this matter and looks forward to continuing collaboration with the Energy Division in </w:t>
      </w:r>
      <w:r w:rsidR="00711527">
        <w:t>updating this workpaper</w:t>
      </w:r>
      <w:r w:rsidR="00711527" w:rsidRPr="00711527">
        <w:t>.  Please contact Chan Paek (CPaek@semprautilities.com), or Paul Deang (PDeang@semprautilities.com) for any further questions.</w:t>
      </w:r>
    </w:p>
    <w:p w14:paraId="2D1CEBEA" w14:textId="4E68CF3B" w:rsidR="0041285D" w:rsidRPr="00CD3B15" w:rsidRDefault="0041285D" w:rsidP="00711527">
      <w:pPr>
        <w:rPr>
          <w:szCs w:val="24"/>
        </w:rPr>
      </w:pPr>
    </w:p>
    <w:sectPr w:rsidR="0041285D" w:rsidRPr="00CD3B15">
      <w:headerReference w:type="default" r:id="rId11"/>
      <w:type w:val="continuous"/>
      <w:pgSz w:w="12240" w:h="15840"/>
      <w:pgMar w:top="648" w:right="1440" w:bottom="1440" w:left="1440" w:header="1080" w:footer="72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2E9AE" w14:textId="77777777" w:rsidR="000108B6" w:rsidRDefault="000108B6">
      <w:r>
        <w:separator/>
      </w:r>
    </w:p>
  </w:endnote>
  <w:endnote w:type="continuationSeparator" w:id="0">
    <w:p w14:paraId="3D6E83AD" w14:textId="77777777" w:rsidR="000108B6" w:rsidRDefault="00010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terstate-Light">
    <w:altName w:val="Franklin Gothic Medium Cond"/>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Interstate-Bold">
    <w:altName w:val="Tw Cen MT Condensed Extra Bold"/>
    <w:charset w:val="00"/>
    <w:family w:val="auto"/>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72A50" w14:textId="77777777" w:rsidR="000108B6" w:rsidRDefault="000108B6">
    <w:pPr>
      <w:pStyle w:val="Footer"/>
      <w:rPr>
        <w:rFonts w:ascii="Interstate-Light" w:hAnsi="Interstate-Light"/>
        <w:spacing w:val="-2"/>
        <w:sz w:val="18"/>
      </w:rPr>
    </w:pPr>
  </w:p>
  <w:p w14:paraId="3E6F2A49" w14:textId="77777777" w:rsidR="000108B6" w:rsidRDefault="000108B6">
    <w:pPr>
      <w:pStyle w:val="Footer"/>
      <w:rPr>
        <w:rFonts w:ascii="Interstate-Light" w:hAnsi="Interstate-Light"/>
        <w:spacing w:val="-2"/>
        <w:sz w:val="18"/>
      </w:rPr>
    </w:pPr>
  </w:p>
  <w:p w14:paraId="49B60996" w14:textId="77777777" w:rsidR="000108B6" w:rsidRDefault="000108B6">
    <w:pPr>
      <w:pStyle w:val="Footer"/>
      <w:rPr>
        <w:rFonts w:ascii="Interstate-Light" w:hAnsi="Interstate-Light"/>
        <w:spacing w:val="-2"/>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49B76" w14:textId="77777777" w:rsidR="000108B6" w:rsidRDefault="000108B6">
      <w:r>
        <w:separator/>
      </w:r>
    </w:p>
  </w:footnote>
  <w:footnote w:type="continuationSeparator" w:id="0">
    <w:p w14:paraId="018C1B15" w14:textId="77777777" w:rsidR="000108B6" w:rsidRDefault="000108B6">
      <w:r>
        <w:continuationSeparator/>
      </w:r>
    </w:p>
  </w:footnote>
  <w:footnote w:id="1">
    <w:p w14:paraId="1695F3B9" w14:textId="3DADF99F" w:rsidR="000108B6" w:rsidRDefault="000108B6">
      <w:pPr>
        <w:pStyle w:val="FootnoteText"/>
      </w:pPr>
      <w:r>
        <w:rPr>
          <w:rStyle w:val="FootnoteReference"/>
        </w:rPr>
        <w:footnoteRef/>
      </w:r>
      <w:r>
        <w:t xml:space="preserve"> </w:t>
      </w:r>
      <w:r w:rsidRPr="00DF7A3A">
        <w:t>Multifamily Boiler Controls – Process Evaluation</w:t>
      </w:r>
      <w:r>
        <w:t xml:space="preserve">, </w:t>
      </w:r>
      <w:r w:rsidRPr="00DF7A3A">
        <w:t>KEMA Services Inc</w:t>
      </w:r>
      <w:r>
        <w:t>,  </w:t>
      </w:r>
      <w:hyperlink r:id="rId1" w:history="1">
        <w:r>
          <w:rPr>
            <w:rStyle w:val="Hyperlink"/>
          </w:rPr>
          <w:t>http://www.calmac.org/publications/MFR_Boiler_Controls_Final_Report_April_22_08.pdf</w:t>
        </w:r>
      </w:hyperlink>
      <w:r>
        <w:t xml:space="preserve">, Figure </w:t>
      </w:r>
    </w:p>
  </w:footnote>
  <w:footnote w:id="2">
    <w:p w14:paraId="0D8708E1" w14:textId="742B3D2A" w:rsidR="000108B6" w:rsidRDefault="000108B6">
      <w:pPr>
        <w:pStyle w:val="FootnoteText"/>
      </w:pPr>
      <w:r>
        <w:rPr>
          <w:rStyle w:val="FootnoteReference"/>
        </w:rPr>
        <w:footnoteRef/>
      </w:r>
      <w:r>
        <w:t xml:space="preserve"> </w:t>
      </w:r>
      <w:r w:rsidRPr="00E80638">
        <w:t>2012 ACEEE Summer Study on Energy Efficiency in Buildings</w:t>
      </w:r>
      <w:r>
        <w:t xml:space="preserve">, </w:t>
      </w:r>
      <w:r w:rsidRPr="00E80638">
        <w:t>Gabriel D. Ayala and Derek Zobrist</w:t>
      </w:r>
      <w:r>
        <w:t xml:space="preserve">, </w:t>
      </w:r>
      <w:hyperlink r:id="rId2" w:history="1">
        <w:r w:rsidRPr="00246D35">
          <w:rPr>
            <w:rStyle w:val="Hyperlink"/>
          </w:rPr>
          <w:t>https://aceee.org/files/proceedings/2012/data/papers/0193-000030.pdf</w:t>
        </w:r>
      </w:hyperlink>
    </w:p>
  </w:footnote>
  <w:footnote w:id="3">
    <w:p w14:paraId="483FDBA2" w14:textId="3B382388" w:rsidR="000108B6" w:rsidRDefault="000108B6">
      <w:pPr>
        <w:pStyle w:val="FootnoteText"/>
      </w:pPr>
      <w:r>
        <w:rPr>
          <w:rStyle w:val="FootnoteReference"/>
        </w:rPr>
        <w:footnoteRef/>
      </w:r>
      <w:r>
        <w:t xml:space="preserve"> 2019 Residential Compliance Manual, Title 24, Part 6, CEC, </w:t>
      </w:r>
      <w:hyperlink r:id="rId3" w:history="1">
        <w:r w:rsidRPr="00246D35">
          <w:rPr>
            <w:rStyle w:val="Hyperlink"/>
          </w:rPr>
          <w:t>https://www.energy.ca.gov/2018publications/CEC-400-2018-017/CEC-400-2018-017-CMF.pdf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ADF28" w14:textId="77777777" w:rsidR="000108B6" w:rsidRDefault="000108B6">
    <w:pPr>
      <w:pStyle w:val="Header"/>
    </w:pPr>
    <w:bookmarkStart w:id="1" w:name="notations"/>
    <w:bookmarkEnd w:id="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E4927" w14:textId="77777777" w:rsidR="000108B6" w:rsidRDefault="000108B6">
    <w:pPr>
      <w:pStyle w:val="Header"/>
      <w:spacing w:after="480"/>
      <w:rPr>
        <w:sz w:val="14"/>
      </w:rPr>
    </w:pPr>
    <w:r>
      <w:rPr>
        <w:sz w:val="14"/>
      </w:rPr>
      <w:t xml:space="preserve">Page </w:t>
    </w:r>
    <w:r>
      <w:rPr>
        <w:sz w:val="14"/>
      </w:rPr>
      <w:fldChar w:fldCharType="begin"/>
    </w:r>
    <w:r>
      <w:rPr>
        <w:sz w:val="14"/>
      </w:rPr>
      <w:instrText xml:space="preserve"> PAGE  \* MERGEFORMAT </w:instrText>
    </w:r>
    <w:r>
      <w:rPr>
        <w:sz w:val="14"/>
      </w:rPr>
      <w:fldChar w:fldCharType="separate"/>
    </w:r>
    <w:r>
      <w:rPr>
        <w:sz w:val="14"/>
      </w:rPr>
      <w:t>2</w:t>
    </w:r>
    <w:r>
      <w:rPr>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40422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166F2C"/>
    <w:multiLevelType w:val="hybridMultilevel"/>
    <w:tmpl w:val="8BDAC4A2"/>
    <w:lvl w:ilvl="0" w:tplc="981CECD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266E6"/>
    <w:multiLevelType w:val="hybridMultilevel"/>
    <w:tmpl w:val="9230C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9F7BC0"/>
    <w:multiLevelType w:val="hybridMultilevel"/>
    <w:tmpl w:val="F37EBD2C"/>
    <w:lvl w:ilvl="0" w:tplc="E348C5C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9254416"/>
    <w:multiLevelType w:val="multilevel"/>
    <w:tmpl w:val="7B1C5A0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4224753"/>
    <w:multiLevelType w:val="hybridMultilevel"/>
    <w:tmpl w:val="F058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183ACB"/>
    <w:multiLevelType w:val="hybridMultilevel"/>
    <w:tmpl w:val="CDB29F12"/>
    <w:lvl w:ilvl="0" w:tplc="59A8DBE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D34FC7"/>
    <w:multiLevelType w:val="multilevel"/>
    <w:tmpl w:val="9B14D7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C6A3E16"/>
    <w:multiLevelType w:val="hybridMultilevel"/>
    <w:tmpl w:val="00E81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CD16FB"/>
    <w:multiLevelType w:val="hybridMultilevel"/>
    <w:tmpl w:val="713C8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AF47AD"/>
    <w:multiLevelType w:val="hybridMultilevel"/>
    <w:tmpl w:val="17B27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8D2B54"/>
    <w:multiLevelType w:val="multilevel"/>
    <w:tmpl w:val="932EDFD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DA80EC6"/>
    <w:multiLevelType w:val="hybridMultilevel"/>
    <w:tmpl w:val="EE942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FB3D2F"/>
    <w:multiLevelType w:val="multilevel"/>
    <w:tmpl w:val="098C947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17E3F7C"/>
    <w:multiLevelType w:val="hybridMultilevel"/>
    <w:tmpl w:val="787CBA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
  </w:num>
  <w:num w:numId="8">
    <w:abstractNumId w:val="8"/>
  </w:num>
  <w:num w:numId="9">
    <w:abstractNumId w:val="14"/>
  </w:num>
  <w:num w:numId="10">
    <w:abstractNumId w:val="5"/>
  </w:num>
  <w:num w:numId="11">
    <w:abstractNumId w:val="2"/>
  </w:num>
  <w:num w:numId="12">
    <w:abstractNumId w:val="12"/>
  </w:num>
  <w:num w:numId="13">
    <w:abstractNumId w:val="10"/>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mailMerge>
    <w:mainDocumentType w:val="mailingLabels"/>
    <w:dataType w:val="textFile"/>
    <w:destination w:val="fax"/>
    <w:activeRecord w:val="-1"/>
    <w:odso/>
  </w:mailMerge>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092"/>
    <w:rsid w:val="00004160"/>
    <w:rsid w:val="000108B6"/>
    <w:rsid w:val="00013517"/>
    <w:rsid w:val="00030675"/>
    <w:rsid w:val="00046CD7"/>
    <w:rsid w:val="00061BDE"/>
    <w:rsid w:val="00075059"/>
    <w:rsid w:val="000C1B1D"/>
    <w:rsid w:val="000D2BCF"/>
    <w:rsid w:val="000D42FF"/>
    <w:rsid w:val="00116E56"/>
    <w:rsid w:val="00173C15"/>
    <w:rsid w:val="00175CB9"/>
    <w:rsid w:val="00195FDB"/>
    <w:rsid w:val="001F0C2B"/>
    <w:rsid w:val="001F50B8"/>
    <w:rsid w:val="001F656F"/>
    <w:rsid w:val="00251168"/>
    <w:rsid w:val="002529CB"/>
    <w:rsid w:val="0029275B"/>
    <w:rsid w:val="00292D1A"/>
    <w:rsid w:val="002B14DD"/>
    <w:rsid w:val="002B78B7"/>
    <w:rsid w:val="002C5C23"/>
    <w:rsid w:val="002D6774"/>
    <w:rsid w:val="002E63BF"/>
    <w:rsid w:val="002F48B3"/>
    <w:rsid w:val="00317314"/>
    <w:rsid w:val="003562D6"/>
    <w:rsid w:val="00367FA3"/>
    <w:rsid w:val="00373AF9"/>
    <w:rsid w:val="003C6649"/>
    <w:rsid w:val="003D7BE9"/>
    <w:rsid w:val="0041285D"/>
    <w:rsid w:val="00450CA5"/>
    <w:rsid w:val="0047143A"/>
    <w:rsid w:val="004B7245"/>
    <w:rsid w:val="004D6010"/>
    <w:rsid w:val="004D7A91"/>
    <w:rsid w:val="004E2735"/>
    <w:rsid w:val="005067A0"/>
    <w:rsid w:val="005067AA"/>
    <w:rsid w:val="00515489"/>
    <w:rsid w:val="005345C5"/>
    <w:rsid w:val="00576981"/>
    <w:rsid w:val="005A3AB3"/>
    <w:rsid w:val="005A6515"/>
    <w:rsid w:val="005D3663"/>
    <w:rsid w:val="005E3EC8"/>
    <w:rsid w:val="005F42C7"/>
    <w:rsid w:val="00675828"/>
    <w:rsid w:val="006928A1"/>
    <w:rsid w:val="00697515"/>
    <w:rsid w:val="006D6661"/>
    <w:rsid w:val="006F0050"/>
    <w:rsid w:val="00711527"/>
    <w:rsid w:val="00712F30"/>
    <w:rsid w:val="00716511"/>
    <w:rsid w:val="00740B9F"/>
    <w:rsid w:val="0078421F"/>
    <w:rsid w:val="007A408F"/>
    <w:rsid w:val="0086548D"/>
    <w:rsid w:val="00871B5B"/>
    <w:rsid w:val="008862F1"/>
    <w:rsid w:val="008A0AC7"/>
    <w:rsid w:val="008C2810"/>
    <w:rsid w:val="008D76B1"/>
    <w:rsid w:val="008F468E"/>
    <w:rsid w:val="008F4C5A"/>
    <w:rsid w:val="00900EE3"/>
    <w:rsid w:val="00904BA7"/>
    <w:rsid w:val="0090710E"/>
    <w:rsid w:val="00940270"/>
    <w:rsid w:val="00955DA7"/>
    <w:rsid w:val="009776FC"/>
    <w:rsid w:val="00983EC0"/>
    <w:rsid w:val="00994EC8"/>
    <w:rsid w:val="009A498A"/>
    <w:rsid w:val="009B1453"/>
    <w:rsid w:val="009B487A"/>
    <w:rsid w:val="009D00D9"/>
    <w:rsid w:val="009E2EEE"/>
    <w:rsid w:val="009F1FED"/>
    <w:rsid w:val="00A21011"/>
    <w:rsid w:val="00A30258"/>
    <w:rsid w:val="00A46E5B"/>
    <w:rsid w:val="00A51B60"/>
    <w:rsid w:val="00A55526"/>
    <w:rsid w:val="00A56D2F"/>
    <w:rsid w:val="00A83015"/>
    <w:rsid w:val="00A84829"/>
    <w:rsid w:val="00A868D8"/>
    <w:rsid w:val="00A91B93"/>
    <w:rsid w:val="00A91FE8"/>
    <w:rsid w:val="00AB128F"/>
    <w:rsid w:val="00AB6C4C"/>
    <w:rsid w:val="00AD0726"/>
    <w:rsid w:val="00AE766F"/>
    <w:rsid w:val="00B01AE2"/>
    <w:rsid w:val="00B27699"/>
    <w:rsid w:val="00B42A4A"/>
    <w:rsid w:val="00B711FE"/>
    <w:rsid w:val="00BA7D50"/>
    <w:rsid w:val="00BC07DB"/>
    <w:rsid w:val="00BC3092"/>
    <w:rsid w:val="00BD14C3"/>
    <w:rsid w:val="00BE3B61"/>
    <w:rsid w:val="00BF530A"/>
    <w:rsid w:val="00C65620"/>
    <w:rsid w:val="00C875DA"/>
    <w:rsid w:val="00CC341C"/>
    <w:rsid w:val="00CC4B33"/>
    <w:rsid w:val="00CD3B15"/>
    <w:rsid w:val="00CF2614"/>
    <w:rsid w:val="00D0413C"/>
    <w:rsid w:val="00D10E45"/>
    <w:rsid w:val="00D53631"/>
    <w:rsid w:val="00D70B33"/>
    <w:rsid w:val="00D93365"/>
    <w:rsid w:val="00DC5DEE"/>
    <w:rsid w:val="00DD6807"/>
    <w:rsid w:val="00DF1CBF"/>
    <w:rsid w:val="00DF1DAB"/>
    <w:rsid w:val="00DF7A3A"/>
    <w:rsid w:val="00E0795C"/>
    <w:rsid w:val="00E36396"/>
    <w:rsid w:val="00E44AA9"/>
    <w:rsid w:val="00E504BF"/>
    <w:rsid w:val="00E80638"/>
    <w:rsid w:val="00EA6ABB"/>
    <w:rsid w:val="00EB04BE"/>
    <w:rsid w:val="00EC6044"/>
    <w:rsid w:val="00F53BBD"/>
    <w:rsid w:val="00F80358"/>
    <w:rsid w:val="00FA2056"/>
    <w:rsid w:val="00FA51D2"/>
    <w:rsid w:val="00FA673B"/>
    <w:rsid w:val="00FB44B5"/>
    <w:rsid w:val="00FB5F2B"/>
    <w:rsid w:val="00FC03B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CCB5DA8"/>
  <w15:chartTrackingRefBased/>
  <w15:docId w15:val="{700484EB-3E39-4AB9-9B25-3237E4E7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Interstate-Light" w:hAnsi="Interstate-Light"/>
      <w:b/>
    </w:rPr>
  </w:style>
  <w:style w:type="paragraph" w:styleId="Footer">
    <w:name w:val="footer"/>
    <w:basedOn w:val="Normal"/>
    <w:pPr>
      <w:tabs>
        <w:tab w:val="center" w:pos="4320"/>
        <w:tab w:val="right" w:pos="8640"/>
      </w:tabs>
    </w:pPr>
  </w:style>
  <w:style w:type="paragraph" w:customStyle="1" w:styleId="Notations">
    <w:name w:val="Notations"/>
    <w:basedOn w:val="Normal"/>
    <w:next w:val="Normal"/>
    <w:pPr>
      <w:tabs>
        <w:tab w:val="left" w:pos="0"/>
      </w:tabs>
      <w:ind w:left="1267" w:hanging="1267"/>
    </w:pPr>
  </w:style>
  <w:style w:type="paragraph" w:customStyle="1" w:styleId="Attachments">
    <w:name w:val="Attachments"/>
    <w:basedOn w:val="Normal"/>
    <w:next w:val="Normal"/>
    <w:pPr>
      <w:tabs>
        <w:tab w:val="left" w:pos="1260"/>
      </w:tabs>
      <w:ind w:left="1260" w:hanging="1260"/>
    </w:pPr>
  </w:style>
  <w:style w:type="paragraph" w:customStyle="1" w:styleId="Enclosures">
    <w:name w:val="Enclosures"/>
    <w:basedOn w:val="Normal"/>
    <w:next w:val="Normal"/>
    <w:pPr>
      <w:tabs>
        <w:tab w:val="left" w:pos="1260"/>
      </w:tabs>
      <w:ind w:left="1260" w:hanging="1260"/>
    </w:pPr>
  </w:style>
  <w:style w:type="paragraph" w:customStyle="1" w:styleId="CopyList">
    <w:name w:val="CopyList"/>
    <w:basedOn w:val="Notations"/>
    <w:next w:val="Normal"/>
    <w:pPr>
      <w:tabs>
        <w:tab w:val="clear" w:pos="0"/>
        <w:tab w:val="left" w:pos="360"/>
      </w:tabs>
      <w:ind w:left="720" w:hanging="720"/>
    </w:pPr>
  </w:style>
  <w:style w:type="paragraph" w:customStyle="1" w:styleId="VisibleText">
    <w:name w:val="Visible Text"/>
    <w:basedOn w:val="Normal"/>
    <w:pPr>
      <w:spacing w:line="280" w:lineRule="exact"/>
    </w:pPr>
  </w:style>
  <w:style w:type="character" w:styleId="CommentReference">
    <w:name w:val="annotation reference"/>
    <w:uiPriority w:val="99"/>
    <w:rPr>
      <w:sz w:val="16"/>
    </w:rPr>
  </w:style>
  <w:style w:type="paragraph" w:styleId="CommentText">
    <w:name w:val="annotation text"/>
    <w:basedOn w:val="Normal"/>
    <w:link w:val="CommentTextChar"/>
    <w:uiPriority w:val="99"/>
    <w:rPr>
      <w:sz w:val="20"/>
    </w:rPr>
  </w:style>
  <w:style w:type="paragraph" w:styleId="ListParagraph">
    <w:name w:val="List Paragraph"/>
    <w:basedOn w:val="Normal"/>
    <w:uiPriority w:val="34"/>
    <w:qFormat/>
    <w:rsid w:val="00C875DA"/>
    <w:pPr>
      <w:ind w:left="720"/>
    </w:pPr>
    <w:rPr>
      <w:rFonts w:ascii="Calibri" w:eastAsia="Calibri" w:hAnsi="Calibri" w:cs="Calibri"/>
      <w:sz w:val="22"/>
      <w:szCs w:val="22"/>
    </w:rPr>
  </w:style>
  <w:style w:type="paragraph" w:styleId="FootnoteText">
    <w:name w:val="footnote text"/>
    <w:basedOn w:val="Normal"/>
    <w:link w:val="FootnoteTextChar"/>
    <w:uiPriority w:val="99"/>
    <w:semiHidden/>
    <w:unhideWhenUsed/>
    <w:rsid w:val="00C875DA"/>
    <w:rPr>
      <w:rFonts w:ascii="Calibri" w:eastAsia="Calibri" w:hAnsi="Calibri" w:cs="Calibri"/>
      <w:sz w:val="20"/>
    </w:rPr>
  </w:style>
  <w:style w:type="character" w:customStyle="1" w:styleId="FootnoteTextChar">
    <w:name w:val="Footnote Text Char"/>
    <w:link w:val="FootnoteText"/>
    <w:uiPriority w:val="99"/>
    <w:semiHidden/>
    <w:rsid w:val="00C875DA"/>
    <w:rPr>
      <w:rFonts w:ascii="Calibri" w:eastAsia="Calibri" w:hAnsi="Calibri" w:cs="Calibri"/>
    </w:rPr>
  </w:style>
  <w:style w:type="character" w:styleId="FootnoteReference">
    <w:name w:val="footnote reference"/>
    <w:uiPriority w:val="99"/>
    <w:semiHidden/>
    <w:unhideWhenUsed/>
    <w:rsid w:val="00C875DA"/>
    <w:rPr>
      <w:vertAlign w:val="superscript"/>
    </w:rPr>
  </w:style>
  <w:style w:type="character" w:styleId="Hyperlink">
    <w:name w:val="Hyperlink"/>
    <w:uiPriority w:val="99"/>
    <w:unhideWhenUsed/>
    <w:rsid w:val="00C875DA"/>
    <w:rPr>
      <w:color w:val="0563C1"/>
      <w:u w:val="single"/>
    </w:rPr>
  </w:style>
  <w:style w:type="paragraph" w:styleId="CommentSubject">
    <w:name w:val="annotation subject"/>
    <w:basedOn w:val="CommentText"/>
    <w:next w:val="CommentText"/>
    <w:link w:val="CommentSubjectChar"/>
    <w:uiPriority w:val="99"/>
    <w:semiHidden/>
    <w:unhideWhenUsed/>
    <w:rsid w:val="00075059"/>
    <w:rPr>
      <w:b/>
      <w:bCs/>
    </w:rPr>
  </w:style>
  <w:style w:type="character" w:customStyle="1" w:styleId="CommentTextChar">
    <w:name w:val="Comment Text Char"/>
    <w:basedOn w:val="DefaultParagraphFont"/>
    <w:link w:val="CommentText"/>
    <w:uiPriority w:val="99"/>
    <w:rsid w:val="00075059"/>
  </w:style>
  <w:style w:type="character" w:customStyle="1" w:styleId="CommentSubjectChar">
    <w:name w:val="Comment Subject Char"/>
    <w:link w:val="CommentSubject"/>
    <w:uiPriority w:val="99"/>
    <w:semiHidden/>
    <w:rsid w:val="00075059"/>
    <w:rPr>
      <w:b/>
      <w:bCs/>
    </w:rPr>
  </w:style>
  <w:style w:type="paragraph" w:styleId="BalloonText">
    <w:name w:val="Balloon Text"/>
    <w:basedOn w:val="Normal"/>
    <w:link w:val="BalloonTextChar"/>
    <w:uiPriority w:val="99"/>
    <w:semiHidden/>
    <w:unhideWhenUsed/>
    <w:rsid w:val="00075059"/>
    <w:rPr>
      <w:rFonts w:ascii="Segoe UI" w:hAnsi="Segoe UI" w:cs="Segoe UI"/>
      <w:sz w:val="18"/>
      <w:szCs w:val="18"/>
    </w:rPr>
  </w:style>
  <w:style w:type="character" w:customStyle="1" w:styleId="BalloonTextChar">
    <w:name w:val="Balloon Text Char"/>
    <w:link w:val="BalloonText"/>
    <w:uiPriority w:val="99"/>
    <w:semiHidden/>
    <w:rsid w:val="00075059"/>
    <w:rPr>
      <w:rFonts w:ascii="Segoe UI" w:hAnsi="Segoe UI" w:cs="Segoe UI"/>
      <w:sz w:val="18"/>
      <w:szCs w:val="18"/>
    </w:rPr>
  </w:style>
  <w:style w:type="character" w:styleId="UnresolvedMention">
    <w:name w:val="Unresolved Mention"/>
    <w:basedOn w:val="DefaultParagraphFont"/>
    <w:uiPriority w:val="99"/>
    <w:semiHidden/>
    <w:unhideWhenUsed/>
    <w:rsid w:val="00D0413C"/>
    <w:rPr>
      <w:color w:val="808080"/>
      <w:shd w:val="clear" w:color="auto" w:fill="E6E6E6"/>
    </w:rPr>
  </w:style>
  <w:style w:type="character" w:styleId="BookTitle">
    <w:name w:val="Book Title"/>
    <w:basedOn w:val="DefaultParagraphFont"/>
    <w:uiPriority w:val="33"/>
    <w:qFormat/>
    <w:rsid w:val="00CD3B15"/>
    <w:rPr>
      <w:b/>
      <w:bCs/>
      <w:i/>
      <w:iCs/>
      <w:spacing w:val="5"/>
    </w:rPr>
  </w:style>
  <w:style w:type="paragraph" w:styleId="NoSpacing">
    <w:name w:val="No Spacing"/>
    <w:uiPriority w:val="1"/>
    <w:qFormat/>
    <w:rsid w:val="00CD3B15"/>
    <w:rPr>
      <w:sz w:val="24"/>
    </w:rPr>
  </w:style>
  <w:style w:type="paragraph" w:styleId="Caption">
    <w:name w:val="caption"/>
    <w:basedOn w:val="Normal"/>
    <w:next w:val="Normal"/>
    <w:uiPriority w:val="35"/>
    <w:unhideWhenUsed/>
    <w:qFormat/>
    <w:rsid w:val="00900EE3"/>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69481">
      <w:bodyDiv w:val="1"/>
      <w:marLeft w:val="0"/>
      <w:marRight w:val="0"/>
      <w:marTop w:val="0"/>
      <w:marBottom w:val="0"/>
      <w:divBdr>
        <w:top w:val="none" w:sz="0" w:space="0" w:color="auto"/>
        <w:left w:val="none" w:sz="0" w:space="0" w:color="auto"/>
        <w:bottom w:val="none" w:sz="0" w:space="0" w:color="auto"/>
        <w:right w:val="none" w:sz="0" w:space="0" w:color="auto"/>
      </w:divBdr>
    </w:div>
    <w:div w:id="190293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energy.ca.gov/2018publications/CEC-400-2018-017/CEC-400-2018-017-CMF.pdf" TargetMode="External"/><Relationship Id="rId2" Type="http://schemas.openxmlformats.org/officeDocument/2006/relationships/hyperlink" Target="https://aceee.org/files/proceedings/2012/data/papers/0193-000030.pdf" TargetMode="External"/><Relationship Id="rId1" Type="http://schemas.openxmlformats.org/officeDocument/2006/relationships/hyperlink" Target="http://www.calmac.org/publications/MFR_Boiler_Controls_Final_Report_April_22_0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E9898-7B99-4555-9605-0242C4289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513</Words>
  <Characters>2983</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Internal Memo</vt:lpstr>
    </vt:vector>
  </TitlesOfParts>
  <Company>SDGE</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Memo</dc:title>
  <dc:subject/>
  <dc:creator>sdge</dc:creator>
  <cp:keywords/>
  <cp:lastModifiedBy>Shannon Dracup</cp:lastModifiedBy>
  <cp:revision>2</cp:revision>
  <cp:lastPrinted>2016-05-24T16:18:00Z</cp:lastPrinted>
  <dcterms:created xsi:type="dcterms:W3CDTF">2019-03-26T14:26:00Z</dcterms:created>
  <dcterms:modified xsi:type="dcterms:W3CDTF">2019-03-26T14:26:00Z</dcterms:modified>
</cp:coreProperties>
</file>